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A98A" w14:textId="7E4BAC22" w:rsidR="00214D95" w:rsidRDefault="00214D95">
      <w:pPr>
        <w:pStyle w:val="BodyText"/>
        <w:ind w:left="3472"/>
        <w:rPr>
          <w:rFonts w:ascii="Times New Roman"/>
        </w:rPr>
      </w:pPr>
    </w:p>
    <w:p w14:paraId="520A0ADE" w14:textId="77777777" w:rsidR="00214D95" w:rsidRDefault="00214D95">
      <w:pPr>
        <w:pStyle w:val="BodyText"/>
        <w:spacing w:before="2"/>
        <w:rPr>
          <w:rFonts w:ascii="Times New Roman"/>
          <w:sz w:val="13"/>
        </w:rPr>
      </w:pPr>
    </w:p>
    <w:p w14:paraId="2F3A3926" w14:textId="77777777" w:rsidR="00214D95" w:rsidRDefault="00214D95">
      <w:pPr>
        <w:pStyle w:val="BodyText"/>
        <w:spacing w:before="7"/>
        <w:rPr>
          <w:sz w:val="22"/>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93"/>
        <w:gridCol w:w="5453"/>
        <w:gridCol w:w="989"/>
        <w:gridCol w:w="1138"/>
        <w:gridCol w:w="994"/>
        <w:gridCol w:w="1272"/>
      </w:tblGrid>
      <w:tr w:rsidR="00214D95" w14:paraId="2ED68001" w14:textId="77777777">
        <w:trPr>
          <w:trHeight w:val="1448"/>
        </w:trPr>
        <w:tc>
          <w:tcPr>
            <w:tcW w:w="11339" w:type="dxa"/>
            <w:gridSpan w:val="6"/>
            <w:tcBorders>
              <w:bottom w:val="single" w:sz="6" w:space="0" w:color="C0C0C0"/>
            </w:tcBorders>
            <w:shd w:val="clear" w:color="auto" w:fill="E6E6E6"/>
          </w:tcPr>
          <w:p w14:paraId="67AF419E" w14:textId="77777777" w:rsidR="00214D95" w:rsidRDefault="007D27A7">
            <w:pPr>
              <w:pStyle w:val="TableParagraph"/>
              <w:spacing w:before="70" w:line="300" w:lineRule="auto"/>
              <w:ind w:left="4380" w:right="4361"/>
              <w:jc w:val="center"/>
              <w:rPr>
                <w:sz w:val="23"/>
              </w:rPr>
            </w:pPr>
            <w:r>
              <w:rPr>
                <w:w w:val="105"/>
                <w:sz w:val="23"/>
              </w:rPr>
              <w:t>ISYS90081 ASSIGNMENT 2 MARKING CRITERIA</w:t>
            </w:r>
          </w:p>
          <w:p w14:paraId="497529EF" w14:textId="77777777" w:rsidR="00214D95" w:rsidRDefault="007D27A7">
            <w:pPr>
              <w:pStyle w:val="TableParagraph"/>
              <w:ind w:left="107"/>
              <w:rPr>
                <w:sz w:val="18"/>
              </w:rPr>
            </w:pPr>
            <w:r>
              <w:rPr>
                <w:sz w:val="18"/>
              </w:rPr>
              <w:t>Every assignment is designed to assess multiple intended learning outcomes. For Assignment 2, each student group is required to complete and submit a soft copy of a report including a signed declaration. The following criteria and performance standards app</w:t>
            </w:r>
            <w:r>
              <w:rPr>
                <w:sz w:val="18"/>
              </w:rPr>
              <w:t>ly:</w:t>
            </w:r>
          </w:p>
        </w:tc>
      </w:tr>
      <w:tr w:rsidR="00214D95" w14:paraId="106B5F8C" w14:textId="77777777">
        <w:trPr>
          <w:trHeight w:val="340"/>
        </w:trPr>
        <w:tc>
          <w:tcPr>
            <w:tcW w:w="1493" w:type="dxa"/>
            <w:tcBorders>
              <w:top w:val="single" w:sz="6" w:space="0" w:color="C0C0C0"/>
              <w:bottom w:val="single" w:sz="6" w:space="0" w:color="C0C0C0"/>
              <w:right w:val="single" w:sz="6" w:space="0" w:color="C0C0C0"/>
            </w:tcBorders>
            <w:shd w:val="clear" w:color="auto" w:fill="E6E6E6"/>
          </w:tcPr>
          <w:p w14:paraId="75F97975" w14:textId="77777777" w:rsidR="00214D95" w:rsidRDefault="007D27A7">
            <w:pPr>
              <w:pStyle w:val="TableParagraph"/>
              <w:spacing w:before="60"/>
              <w:ind w:left="136" w:right="119"/>
              <w:jc w:val="center"/>
              <w:rPr>
                <w:sz w:val="18"/>
              </w:rPr>
            </w:pPr>
            <w:r>
              <w:rPr>
                <w:sz w:val="18"/>
              </w:rPr>
              <w:t>Criteria</w:t>
            </w:r>
          </w:p>
        </w:tc>
        <w:tc>
          <w:tcPr>
            <w:tcW w:w="9846" w:type="dxa"/>
            <w:gridSpan w:val="5"/>
            <w:tcBorders>
              <w:top w:val="single" w:sz="6" w:space="0" w:color="C0C0C0"/>
              <w:left w:val="single" w:sz="6" w:space="0" w:color="C0C0C0"/>
              <w:bottom w:val="single" w:sz="6" w:space="0" w:color="C0C0C0"/>
            </w:tcBorders>
            <w:shd w:val="clear" w:color="auto" w:fill="E6E6E6"/>
          </w:tcPr>
          <w:p w14:paraId="7EB56833" w14:textId="77777777" w:rsidR="00214D95" w:rsidRDefault="007D27A7">
            <w:pPr>
              <w:pStyle w:val="TableParagraph"/>
              <w:spacing w:before="60"/>
              <w:ind w:left="4053" w:right="4036"/>
              <w:jc w:val="center"/>
              <w:rPr>
                <w:sz w:val="18"/>
              </w:rPr>
            </w:pPr>
            <w:r>
              <w:rPr>
                <w:sz w:val="18"/>
              </w:rPr>
              <w:t>Performance Standards</w:t>
            </w:r>
          </w:p>
        </w:tc>
      </w:tr>
      <w:tr w:rsidR="00214D95" w14:paraId="7E9FD9AE" w14:textId="77777777">
        <w:trPr>
          <w:trHeight w:val="556"/>
        </w:trPr>
        <w:tc>
          <w:tcPr>
            <w:tcW w:w="1493" w:type="dxa"/>
            <w:tcBorders>
              <w:top w:val="single" w:sz="6" w:space="0" w:color="C0C0C0"/>
              <w:bottom w:val="single" w:sz="4" w:space="0" w:color="000000"/>
              <w:right w:val="single" w:sz="6" w:space="0" w:color="C0C0C0"/>
            </w:tcBorders>
            <w:shd w:val="clear" w:color="auto" w:fill="E6E6E6"/>
          </w:tcPr>
          <w:p w14:paraId="023D2A72" w14:textId="77777777" w:rsidR="00214D95" w:rsidRDefault="007D27A7">
            <w:pPr>
              <w:pStyle w:val="TableParagraph"/>
              <w:spacing w:before="60"/>
              <w:ind w:left="136" w:right="119"/>
              <w:jc w:val="center"/>
              <w:rPr>
                <w:sz w:val="18"/>
              </w:rPr>
            </w:pPr>
            <w:r>
              <w:rPr>
                <w:sz w:val="18"/>
              </w:rPr>
              <w:t>Deliverables</w:t>
            </w:r>
          </w:p>
        </w:tc>
        <w:tc>
          <w:tcPr>
            <w:tcW w:w="5453" w:type="dxa"/>
            <w:tcBorders>
              <w:top w:val="single" w:sz="6" w:space="0" w:color="C0C0C0"/>
              <w:left w:val="single" w:sz="6" w:space="0" w:color="C0C0C0"/>
              <w:bottom w:val="single" w:sz="4" w:space="0" w:color="000000"/>
              <w:right w:val="single" w:sz="6" w:space="0" w:color="C0C0C0"/>
            </w:tcBorders>
            <w:shd w:val="clear" w:color="auto" w:fill="E6E6E6"/>
          </w:tcPr>
          <w:p w14:paraId="7F920DCF" w14:textId="77777777" w:rsidR="00214D95" w:rsidRDefault="007D27A7">
            <w:pPr>
              <w:pStyle w:val="TableParagraph"/>
              <w:spacing w:before="60"/>
              <w:ind w:left="2245" w:right="2229"/>
              <w:jc w:val="center"/>
              <w:rPr>
                <w:sz w:val="18"/>
              </w:rPr>
            </w:pPr>
            <w:r>
              <w:rPr>
                <w:sz w:val="18"/>
              </w:rPr>
              <w:t>Expectations</w:t>
            </w:r>
          </w:p>
        </w:tc>
        <w:tc>
          <w:tcPr>
            <w:tcW w:w="989" w:type="dxa"/>
            <w:tcBorders>
              <w:top w:val="single" w:sz="6" w:space="0" w:color="C0C0C0"/>
              <w:left w:val="single" w:sz="6" w:space="0" w:color="C0C0C0"/>
              <w:bottom w:val="single" w:sz="4" w:space="0" w:color="000000"/>
              <w:right w:val="single" w:sz="6" w:space="0" w:color="C0C0C0"/>
            </w:tcBorders>
            <w:shd w:val="clear" w:color="auto" w:fill="E6E6E6"/>
          </w:tcPr>
          <w:p w14:paraId="2128B976" w14:textId="77777777" w:rsidR="00214D95" w:rsidRDefault="007D27A7">
            <w:pPr>
              <w:pStyle w:val="TableParagraph"/>
              <w:spacing w:before="171"/>
              <w:ind w:left="148" w:right="129"/>
              <w:jc w:val="center"/>
              <w:rPr>
                <w:sz w:val="18"/>
              </w:rPr>
            </w:pPr>
            <w:r>
              <w:rPr>
                <w:sz w:val="18"/>
              </w:rPr>
              <w:t>Good</w:t>
            </w:r>
          </w:p>
        </w:tc>
        <w:tc>
          <w:tcPr>
            <w:tcW w:w="1138" w:type="dxa"/>
            <w:tcBorders>
              <w:top w:val="single" w:sz="6" w:space="0" w:color="C0C0C0"/>
              <w:left w:val="single" w:sz="6" w:space="0" w:color="C0C0C0"/>
              <w:bottom w:val="single" w:sz="4" w:space="0" w:color="000000"/>
              <w:right w:val="single" w:sz="6" w:space="0" w:color="C0C0C0"/>
            </w:tcBorders>
            <w:shd w:val="clear" w:color="auto" w:fill="E6E6E6"/>
          </w:tcPr>
          <w:p w14:paraId="325FA6A1" w14:textId="77777777" w:rsidR="00214D95" w:rsidRDefault="007D27A7">
            <w:pPr>
              <w:pStyle w:val="TableParagraph"/>
              <w:spacing w:before="171"/>
              <w:ind w:left="150" w:right="128"/>
              <w:jc w:val="center"/>
              <w:rPr>
                <w:sz w:val="18"/>
              </w:rPr>
            </w:pPr>
            <w:r>
              <w:rPr>
                <w:sz w:val="18"/>
              </w:rPr>
              <w:t>Acceptable</w:t>
            </w:r>
          </w:p>
        </w:tc>
        <w:tc>
          <w:tcPr>
            <w:tcW w:w="994" w:type="dxa"/>
            <w:tcBorders>
              <w:top w:val="single" w:sz="6" w:space="0" w:color="C0C0C0"/>
              <w:left w:val="single" w:sz="6" w:space="0" w:color="C0C0C0"/>
              <w:bottom w:val="single" w:sz="4" w:space="0" w:color="000000"/>
              <w:right w:val="single" w:sz="6" w:space="0" w:color="C0C0C0"/>
            </w:tcBorders>
            <w:shd w:val="clear" w:color="auto" w:fill="E6E6E6"/>
          </w:tcPr>
          <w:p w14:paraId="1A884243" w14:textId="77777777" w:rsidR="00214D95" w:rsidRDefault="007D27A7">
            <w:pPr>
              <w:pStyle w:val="TableParagraph"/>
              <w:spacing w:before="55"/>
              <w:ind w:left="299" w:right="236" w:hanging="32"/>
              <w:rPr>
                <w:sz w:val="18"/>
              </w:rPr>
            </w:pPr>
            <w:r>
              <w:rPr>
                <w:sz w:val="18"/>
              </w:rPr>
              <w:t>Needs Work</w:t>
            </w:r>
          </w:p>
        </w:tc>
        <w:tc>
          <w:tcPr>
            <w:tcW w:w="1272" w:type="dxa"/>
            <w:tcBorders>
              <w:top w:val="single" w:sz="6" w:space="0" w:color="C0C0C0"/>
              <w:left w:val="single" w:sz="6" w:space="0" w:color="C0C0C0"/>
              <w:bottom w:val="single" w:sz="4" w:space="0" w:color="000000"/>
            </w:tcBorders>
            <w:shd w:val="clear" w:color="auto" w:fill="E6E6E6"/>
          </w:tcPr>
          <w:p w14:paraId="7862BAA9" w14:textId="77777777" w:rsidR="00214D95" w:rsidRDefault="007D27A7">
            <w:pPr>
              <w:pStyle w:val="TableParagraph"/>
              <w:spacing w:before="171"/>
              <w:ind w:left="119" w:right="102"/>
              <w:jc w:val="center"/>
              <w:rPr>
                <w:sz w:val="18"/>
              </w:rPr>
            </w:pPr>
            <w:r>
              <w:rPr>
                <w:sz w:val="18"/>
              </w:rPr>
              <w:t>Unacceptable</w:t>
            </w:r>
          </w:p>
        </w:tc>
      </w:tr>
      <w:tr w:rsidR="00214D95" w14:paraId="60F26FDB" w14:textId="77777777">
        <w:trPr>
          <w:trHeight w:val="1357"/>
        </w:trPr>
        <w:tc>
          <w:tcPr>
            <w:tcW w:w="1493" w:type="dxa"/>
            <w:tcBorders>
              <w:top w:val="single" w:sz="4" w:space="0" w:color="000000"/>
              <w:bottom w:val="single" w:sz="4" w:space="0" w:color="000000"/>
              <w:right w:val="single" w:sz="6" w:space="0" w:color="C0C0C0"/>
            </w:tcBorders>
          </w:tcPr>
          <w:p w14:paraId="556EE4D1" w14:textId="77777777" w:rsidR="00214D95" w:rsidRDefault="007D27A7">
            <w:pPr>
              <w:pStyle w:val="TableParagraph"/>
              <w:spacing w:before="118"/>
              <w:ind w:left="139" w:right="119"/>
              <w:jc w:val="center"/>
              <w:rPr>
                <w:sz w:val="18"/>
              </w:rPr>
            </w:pPr>
            <w:r>
              <w:rPr>
                <w:sz w:val="18"/>
              </w:rPr>
              <w:t>Introduction and Conclusion</w:t>
            </w:r>
          </w:p>
          <w:p w14:paraId="1A4D0277" w14:textId="77777777" w:rsidR="00214D95" w:rsidRDefault="007D27A7">
            <w:pPr>
              <w:pStyle w:val="TableParagraph"/>
              <w:spacing w:before="122"/>
              <w:ind w:left="134" w:right="119"/>
              <w:jc w:val="center"/>
              <w:rPr>
                <w:sz w:val="18"/>
              </w:rPr>
            </w:pPr>
            <w:r>
              <w:rPr>
                <w:color w:val="FF0000"/>
                <w:sz w:val="18"/>
              </w:rPr>
              <w:t>(5%)</w:t>
            </w:r>
          </w:p>
        </w:tc>
        <w:tc>
          <w:tcPr>
            <w:tcW w:w="5453" w:type="dxa"/>
            <w:tcBorders>
              <w:top w:val="single" w:sz="4" w:space="0" w:color="000000"/>
              <w:left w:val="single" w:sz="6" w:space="0" w:color="C0C0C0"/>
              <w:bottom w:val="single" w:sz="4" w:space="0" w:color="000000"/>
              <w:right w:val="single" w:sz="6" w:space="0" w:color="C0C0C0"/>
            </w:tcBorders>
          </w:tcPr>
          <w:p w14:paraId="17644F39" w14:textId="77777777" w:rsidR="00214D95" w:rsidRDefault="007D27A7">
            <w:pPr>
              <w:pStyle w:val="TableParagraph"/>
              <w:spacing w:before="102"/>
              <w:ind w:left="107" w:right="87"/>
              <w:jc w:val="both"/>
              <w:rPr>
                <w:sz w:val="18"/>
              </w:rPr>
            </w:pPr>
            <w:r>
              <w:rPr>
                <w:sz w:val="18"/>
              </w:rPr>
              <w:t>The introduction should illustrate the purpose of the report in a well- structured</w:t>
            </w:r>
            <w:r>
              <w:rPr>
                <w:spacing w:val="-6"/>
                <w:sz w:val="18"/>
              </w:rPr>
              <w:t xml:space="preserve"> </w:t>
            </w:r>
            <w:r>
              <w:rPr>
                <w:sz w:val="18"/>
              </w:rPr>
              <w:t>manner.</w:t>
            </w:r>
            <w:r>
              <w:rPr>
                <w:spacing w:val="-4"/>
                <w:sz w:val="18"/>
              </w:rPr>
              <w:t xml:space="preserve"> </w:t>
            </w:r>
            <w:r>
              <w:rPr>
                <w:sz w:val="18"/>
              </w:rPr>
              <w:t>It</w:t>
            </w:r>
            <w:r>
              <w:rPr>
                <w:spacing w:val="-5"/>
                <w:sz w:val="18"/>
              </w:rPr>
              <w:t xml:space="preserve"> </w:t>
            </w:r>
            <w:r>
              <w:rPr>
                <w:sz w:val="18"/>
              </w:rPr>
              <w:t>should</w:t>
            </w:r>
            <w:r>
              <w:rPr>
                <w:spacing w:val="-5"/>
                <w:sz w:val="18"/>
              </w:rPr>
              <w:t xml:space="preserve"> </w:t>
            </w:r>
            <w:r>
              <w:rPr>
                <w:sz w:val="18"/>
              </w:rPr>
              <w:t>conclude</w:t>
            </w:r>
            <w:r>
              <w:rPr>
                <w:spacing w:val="-6"/>
                <w:sz w:val="18"/>
              </w:rPr>
              <w:t xml:space="preserve"> </w:t>
            </w:r>
            <w:r>
              <w:rPr>
                <w:sz w:val="18"/>
              </w:rPr>
              <w:t>by</w:t>
            </w:r>
            <w:r>
              <w:rPr>
                <w:spacing w:val="-5"/>
                <w:sz w:val="18"/>
              </w:rPr>
              <w:t xml:space="preserve"> </w:t>
            </w:r>
            <w:r>
              <w:rPr>
                <w:sz w:val="18"/>
              </w:rPr>
              <w:t>presenting</w:t>
            </w:r>
            <w:r>
              <w:rPr>
                <w:spacing w:val="-6"/>
                <w:sz w:val="18"/>
              </w:rPr>
              <w:t xml:space="preserve"> </w:t>
            </w:r>
            <w:r>
              <w:rPr>
                <w:sz w:val="18"/>
              </w:rPr>
              <w:t>the</w:t>
            </w:r>
            <w:r>
              <w:rPr>
                <w:spacing w:val="-5"/>
                <w:sz w:val="18"/>
              </w:rPr>
              <w:t xml:space="preserve"> </w:t>
            </w:r>
            <w:r>
              <w:rPr>
                <w:sz w:val="18"/>
              </w:rPr>
              <w:t>structure</w:t>
            </w:r>
            <w:r>
              <w:rPr>
                <w:spacing w:val="-6"/>
                <w:sz w:val="18"/>
              </w:rPr>
              <w:t xml:space="preserve"> </w:t>
            </w:r>
            <w:r>
              <w:rPr>
                <w:sz w:val="18"/>
              </w:rPr>
              <w:t>of</w:t>
            </w:r>
            <w:r>
              <w:rPr>
                <w:spacing w:val="-4"/>
                <w:sz w:val="18"/>
              </w:rPr>
              <w:t xml:space="preserve"> </w:t>
            </w:r>
            <w:r>
              <w:rPr>
                <w:sz w:val="18"/>
              </w:rPr>
              <w:t>the report</w:t>
            </w:r>
            <w:r>
              <w:rPr>
                <w:spacing w:val="-2"/>
                <w:sz w:val="18"/>
              </w:rPr>
              <w:t xml:space="preserve"> </w:t>
            </w:r>
            <w:r>
              <w:rPr>
                <w:sz w:val="18"/>
              </w:rPr>
              <w:t>(5%).</w:t>
            </w:r>
          </w:p>
          <w:p w14:paraId="7E3FF5D3" w14:textId="77777777" w:rsidR="00214D95" w:rsidRDefault="007D27A7">
            <w:pPr>
              <w:pStyle w:val="TableParagraph"/>
              <w:spacing w:before="61"/>
              <w:ind w:left="107" w:right="88"/>
              <w:jc w:val="both"/>
              <w:rPr>
                <w:sz w:val="18"/>
              </w:rPr>
            </w:pPr>
            <w:r>
              <w:rPr>
                <w:sz w:val="18"/>
              </w:rPr>
              <w:t xml:space="preserve">The conclusion should </w:t>
            </w:r>
            <w:proofErr w:type="spellStart"/>
            <w:r>
              <w:rPr>
                <w:sz w:val="18"/>
              </w:rPr>
              <w:t>summarise</w:t>
            </w:r>
            <w:proofErr w:type="spellEnd"/>
            <w:r>
              <w:rPr>
                <w:sz w:val="18"/>
              </w:rPr>
              <w:t xml:space="preserve"> the main findings, </w:t>
            </w:r>
            <w:proofErr w:type="spellStart"/>
            <w:r>
              <w:rPr>
                <w:sz w:val="18"/>
              </w:rPr>
              <w:t>contextualise</w:t>
            </w:r>
            <w:proofErr w:type="spellEnd"/>
            <w:r>
              <w:rPr>
                <w:sz w:val="18"/>
              </w:rPr>
              <w:t xml:space="preserve"> the report and cover any potential limitations (5%).</w:t>
            </w:r>
          </w:p>
        </w:tc>
        <w:tc>
          <w:tcPr>
            <w:tcW w:w="989" w:type="dxa"/>
            <w:tcBorders>
              <w:top w:val="single" w:sz="4" w:space="0" w:color="000000"/>
              <w:left w:val="single" w:sz="6" w:space="0" w:color="C0C0C0"/>
              <w:bottom w:val="single" w:sz="4" w:space="0" w:color="000000"/>
              <w:right w:val="single" w:sz="6" w:space="0" w:color="C0C0C0"/>
            </w:tcBorders>
          </w:tcPr>
          <w:p w14:paraId="76C6A1BA" w14:textId="77777777" w:rsidR="00214D95" w:rsidRDefault="00214D95">
            <w:pPr>
              <w:pStyle w:val="TableParagraph"/>
              <w:rPr>
                <w:rFonts w:ascii="Calibri"/>
              </w:rPr>
            </w:pPr>
          </w:p>
          <w:p w14:paraId="3D3742FF" w14:textId="77777777" w:rsidR="00214D95" w:rsidRDefault="00214D95">
            <w:pPr>
              <w:pStyle w:val="TableParagraph"/>
              <w:spacing w:before="3"/>
              <w:rPr>
                <w:rFonts w:ascii="Calibri"/>
                <w:sz w:val="25"/>
              </w:rPr>
            </w:pPr>
          </w:p>
          <w:p w14:paraId="0C12162B" w14:textId="77777777" w:rsidR="00214D95" w:rsidRDefault="007D27A7">
            <w:pPr>
              <w:pStyle w:val="TableParagraph"/>
              <w:ind w:left="148" w:right="129"/>
              <w:jc w:val="center"/>
              <w:rPr>
                <w:sz w:val="18"/>
              </w:rPr>
            </w:pPr>
            <w:r>
              <w:rPr>
                <w:sz w:val="18"/>
              </w:rPr>
              <w:t>(</w:t>
            </w:r>
            <w:proofErr w:type="gramStart"/>
            <w:r>
              <w:rPr>
                <w:sz w:val="18"/>
              </w:rPr>
              <w:t>5)%</w:t>
            </w:r>
            <w:proofErr w:type="gramEnd"/>
          </w:p>
        </w:tc>
        <w:tc>
          <w:tcPr>
            <w:tcW w:w="1138" w:type="dxa"/>
            <w:tcBorders>
              <w:top w:val="single" w:sz="4" w:space="0" w:color="000000"/>
              <w:left w:val="single" w:sz="6" w:space="0" w:color="C0C0C0"/>
              <w:bottom w:val="single" w:sz="4" w:space="0" w:color="000000"/>
              <w:right w:val="single" w:sz="6" w:space="0" w:color="C0C0C0"/>
            </w:tcBorders>
          </w:tcPr>
          <w:p w14:paraId="2CE927D2" w14:textId="77777777" w:rsidR="00214D95" w:rsidRDefault="00214D95">
            <w:pPr>
              <w:pStyle w:val="TableParagraph"/>
              <w:rPr>
                <w:rFonts w:ascii="Calibri"/>
              </w:rPr>
            </w:pPr>
          </w:p>
          <w:p w14:paraId="07A95F9C" w14:textId="77777777" w:rsidR="00214D95" w:rsidRDefault="00214D95">
            <w:pPr>
              <w:pStyle w:val="TableParagraph"/>
              <w:spacing w:before="3"/>
              <w:rPr>
                <w:rFonts w:ascii="Calibri"/>
                <w:sz w:val="25"/>
              </w:rPr>
            </w:pPr>
          </w:p>
          <w:p w14:paraId="07C59F9E" w14:textId="77777777" w:rsidR="00214D95" w:rsidRDefault="007D27A7">
            <w:pPr>
              <w:pStyle w:val="TableParagraph"/>
              <w:ind w:left="149" w:right="128"/>
              <w:jc w:val="center"/>
              <w:rPr>
                <w:sz w:val="18"/>
              </w:rPr>
            </w:pPr>
            <w:r>
              <w:rPr>
                <w:sz w:val="18"/>
              </w:rPr>
              <w:t>(3-</w:t>
            </w:r>
            <w:proofErr w:type="gramStart"/>
            <w:r>
              <w:rPr>
                <w:sz w:val="18"/>
              </w:rPr>
              <w:t>4)%</w:t>
            </w:r>
            <w:proofErr w:type="gramEnd"/>
          </w:p>
        </w:tc>
        <w:tc>
          <w:tcPr>
            <w:tcW w:w="994" w:type="dxa"/>
            <w:tcBorders>
              <w:top w:val="single" w:sz="4" w:space="0" w:color="000000"/>
              <w:left w:val="single" w:sz="6" w:space="0" w:color="C0C0C0"/>
              <w:bottom w:val="single" w:sz="4" w:space="0" w:color="000000"/>
              <w:right w:val="single" w:sz="6" w:space="0" w:color="C0C0C0"/>
            </w:tcBorders>
          </w:tcPr>
          <w:p w14:paraId="43892FDD" w14:textId="77777777" w:rsidR="00214D95" w:rsidRDefault="00214D95">
            <w:pPr>
              <w:pStyle w:val="TableParagraph"/>
              <w:rPr>
                <w:rFonts w:ascii="Calibri"/>
              </w:rPr>
            </w:pPr>
          </w:p>
          <w:p w14:paraId="00FE055C" w14:textId="77777777" w:rsidR="00214D95" w:rsidRDefault="00214D95">
            <w:pPr>
              <w:pStyle w:val="TableParagraph"/>
              <w:spacing w:before="3"/>
              <w:rPr>
                <w:rFonts w:ascii="Calibri"/>
                <w:sz w:val="25"/>
              </w:rPr>
            </w:pPr>
          </w:p>
          <w:p w14:paraId="2C204642" w14:textId="77777777" w:rsidR="00214D95" w:rsidRDefault="007D27A7">
            <w:pPr>
              <w:pStyle w:val="TableParagraph"/>
              <w:ind w:left="149" w:right="135"/>
              <w:jc w:val="center"/>
              <w:rPr>
                <w:sz w:val="18"/>
              </w:rPr>
            </w:pPr>
            <w:r>
              <w:rPr>
                <w:sz w:val="18"/>
              </w:rPr>
              <w:t>(</w:t>
            </w:r>
            <w:proofErr w:type="gramStart"/>
            <w:r>
              <w:rPr>
                <w:sz w:val="18"/>
              </w:rPr>
              <w:t>2)%</w:t>
            </w:r>
            <w:proofErr w:type="gramEnd"/>
          </w:p>
        </w:tc>
        <w:tc>
          <w:tcPr>
            <w:tcW w:w="1272" w:type="dxa"/>
            <w:tcBorders>
              <w:top w:val="single" w:sz="4" w:space="0" w:color="000000"/>
              <w:left w:val="single" w:sz="6" w:space="0" w:color="C0C0C0"/>
              <w:bottom w:val="single" w:sz="4" w:space="0" w:color="000000"/>
            </w:tcBorders>
          </w:tcPr>
          <w:p w14:paraId="6D340F6B" w14:textId="77777777" w:rsidR="00214D95" w:rsidRDefault="00214D95">
            <w:pPr>
              <w:pStyle w:val="TableParagraph"/>
              <w:rPr>
                <w:rFonts w:ascii="Calibri"/>
              </w:rPr>
            </w:pPr>
          </w:p>
          <w:p w14:paraId="01405F1E" w14:textId="77777777" w:rsidR="00214D95" w:rsidRDefault="00214D95">
            <w:pPr>
              <w:pStyle w:val="TableParagraph"/>
              <w:spacing w:before="3"/>
              <w:rPr>
                <w:rFonts w:ascii="Calibri"/>
                <w:sz w:val="25"/>
              </w:rPr>
            </w:pPr>
          </w:p>
          <w:p w14:paraId="1D8DB8AC" w14:textId="77777777" w:rsidR="00214D95" w:rsidRDefault="007D27A7">
            <w:pPr>
              <w:pStyle w:val="TableParagraph"/>
              <w:ind w:left="119" w:right="101"/>
              <w:jc w:val="center"/>
              <w:rPr>
                <w:sz w:val="18"/>
              </w:rPr>
            </w:pPr>
            <w:r>
              <w:rPr>
                <w:sz w:val="18"/>
              </w:rPr>
              <w:t>(0-</w:t>
            </w:r>
            <w:proofErr w:type="gramStart"/>
            <w:r>
              <w:rPr>
                <w:sz w:val="18"/>
              </w:rPr>
              <w:t>1)%</w:t>
            </w:r>
            <w:proofErr w:type="gramEnd"/>
          </w:p>
        </w:tc>
      </w:tr>
      <w:tr w:rsidR="00214D95" w14:paraId="2EA30B5D" w14:textId="77777777">
        <w:trPr>
          <w:trHeight w:val="1218"/>
        </w:trPr>
        <w:tc>
          <w:tcPr>
            <w:tcW w:w="1493" w:type="dxa"/>
            <w:tcBorders>
              <w:top w:val="single" w:sz="4" w:space="0" w:color="000000"/>
              <w:right w:val="single" w:sz="6" w:space="0" w:color="C0C0C0"/>
            </w:tcBorders>
          </w:tcPr>
          <w:p w14:paraId="4FBA13F0" w14:textId="77777777" w:rsidR="00214D95" w:rsidRDefault="007D27A7">
            <w:pPr>
              <w:pStyle w:val="TableParagraph"/>
              <w:spacing w:before="123" w:line="367" w:lineRule="auto"/>
              <w:ind w:left="583" w:right="450" w:hanging="100"/>
              <w:rPr>
                <w:sz w:val="18"/>
              </w:rPr>
            </w:pPr>
            <w:r>
              <w:rPr>
                <w:sz w:val="18"/>
              </w:rPr>
              <w:t xml:space="preserve">Format </w:t>
            </w:r>
            <w:r>
              <w:rPr>
                <w:color w:val="FF0000"/>
                <w:sz w:val="18"/>
              </w:rPr>
              <w:t>(5%)</w:t>
            </w:r>
          </w:p>
        </w:tc>
        <w:tc>
          <w:tcPr>
            <w:tcW w:w="5453" w:type="dxa"/>
            <w:tcBorders>
              <w:top w:val="single" w:sz="4" w:space="0" w:color="000000"/>
              <w:left w:val="single" w:sz="6" w:space="0" w:color="C0C0C0"/>
              <w:right w:val="single" w:sz="6" w:space="0" w:color="C0C0C0"/>
            </w:tcBorders>
          </w:tcPr>
          <w:p w14:paraId="309BCB96" w14:textId="77777777" w:rsidR="00214D95" w:rsidRDefault="007D27A7">
            <w:pPr>
              <w:pStyle w:val="TableParagraph"/>
              <w:spacing w:before="63"/>
              <w:ind w:left="107" w:right="88"/>
              <w:jc w:val="both"/>
              <w:rPr>
                <w:sz w:val="18"/>
              </w:rPr>
            </w:pPr>
            <w:r>
              <w:rPr>
                <w:sz w:val="18"/>
              </w:rPr>
              <w:t xml:space="preserve">The group declaration should exist and must be physically signed by all members of the team. The report should be presented in a professional manner and with NO spelling or grammar errors. All tables and figures must be clear, well </w:t>
            </w:r>
            <w:proofErr w:type="spellStart"/>
            <w:r>
              <w:rPr>
                <w:sz w:val="18"/>
              </w:rPr>
              <w:t>organised</w:t>
            </w:r>
            <w:proofErr w:type="spellEnd"/>
            <w:r>
              <w:rPr>
                <w:sz w:val="18"/>
              </w:rPr>
              <w:t xml:space="preserve"> and embedded i</w:t>
            </w:r>
            <w:r>
              <w:rPr>
                <w:sz w:val="18"/>
              </w:rPr>
              <w:t>nto the flow of the argument (5%).</w:t>
            </w:r>
          </w:p>
        </w:tc>
        <w:tc>
          <w:tcPr>
            <w:tcW w:w="989" w:type="dxa"/>
            <w:tcBorders>
              <w:top w:val="single" w:sz="4" w:space="0" w:color="000000"/>
              <w:left w:val="single" w:sz="6" w:space="0" w:color="C0C0C0"/>
              <w:right w:val="single" w:sz="6" w:space="0" w:color="C0C0C0"/>
            </w:tcBorders>
          </w:tcPr>
          <w:p w14:paraId="63DDF475" w14:textId="77777777" w:rsidR="00214D95" w:rsidRDefault="00214D95">
            <w:pPr>
              <w:pStyle w:val="TableParagraph"/>
              <w:rPr>
                <w:rFonts w:ascii="Calibri"/>
              </w:rPr>
            </w:pPr>
          </w:p>
          <w:p w14:paraId="54F82AD5" w14:textId="77777777" w:rsidR="00214D95" w:rsidRDefault="00214D95">
            <w:pPr>
              <w:pStyle w:val="TableParagraph"/>
              <w:spacing w:before="4"/>
              <w:rPr>
                <w:rFonts w:ascii="Calibri"/>
                <w:sz w:val="19"/>
              </w:rPr>
            </w:pPr>
          </w:p>
          <w:p w14:paraId="4F9010A9" w14:textId="77777777" w:rsidR="00214D95" w:rsidRDefault="007D27A7">
            <w:pPr>
              <w:pStyle w:val="TableParagraph"/>
              <w:ind w:left="148" w:right="129"/>
              <w:jc w:val="center"/>
              <w:rPr>
                <w:sz w:val="18"/>
              </w:rPr>
            </w:pPr>
            <w:r>
              <w:rPr>
                <w:sz w:val="18"/>
              </w:rPr>
              <w:t>(</w:t>
            </w:r>
            <w:proofErr w:type="gramStart"/>
            <w:r>
              <w:rPr>
                <w:sz w:val="18"/>
              </w:rPr>
              <w:t>5)%</w:t>
            </w:r>
            <w:proofErr w:type="gramEnd"/>
          </w:p>
        </w:tc>
        <w:tc>
          <w:tcPr>
            <w:tcW w:w="1138" w:type="dxa"/>
            <w:tcBorders>
              <w:top w:val="single" w:sz="4" w:space="0" w:color="000000"/>
              <w:left w:val="single" w:sz="6" w:space="0" w:color="C0C0C0"/>
              <w:right w:val="single" w:sz="6" w:space="0" w:color="C0C0C0"/>
            </w:tcBorders>
          </w:tcPr>
          <w:p w14:paraId="64DBF0B8" w14:textId="77777777" w:rsidR="00214D95" w:rsidRDefault="00214D95">
            <w:pPr>
              <w:pStyle w:val="TableParagraph"/>
              <w:rPr>
                <w:rFonts w:ascii="Calibri"/>
              </w:rPr>
            </w:pPr>
          </w:p>
          <w:p w14:paraId="64AEAE10" w14:textId="77777777" w:rsidR="00214D95" w:rsidRDefault="00214D95">
            <w:pPr>
              <w:pStyle w:val="TableParagraph"/>
              <w:spacing w:before="4"/>
              <w:rPr>
                <w:rFonts w:ascii="Calibri"/>
                <w:sz w:val="19"/>
              </w:rPr>
            </w:pPr>
          </w:p>
          <w:p w14:paraId="1C58993F" w14:textId="77777777" w:rsidR="00214D95" w:rsidRDefault="007D27A7">
            <w:pPr>
              <w:pStyle w:val="TableParagraph"/>
              <w:ind w:left="149" w:right="128"/>
              <w:jc w:val="center"/>
              <w:rPr>
                <w:sz w:val="18"/>
              </w:rPr>
            </w:pPr>
            <w:r>
              <w:rPr>
                <w:sz w:val="18"/>
              </w:rPr>
              <w:t>(3-</w:t>
            </w:r>
            <w:proofErr w:type="gramStart"/>
            <w:r>
              <w:rPr>
                <w:sz w:val="18"/>
              </w:rPr>
              <w:t>4)%</w:t>
            </w:r>
            <w:proofErr w:type="gramEnd"/>
          </w:p>
        </w:tc>
        <w:tc>
          <w:tcPr>
            <w:tcW w:w="994" w:type="dxa"/>
            <w:tcBorders>
              <w:top w:val="single" w:sz="4" w:space="0" w:color="000000"/>
              <w:left w:val="single" w:sz="6" w:space="0" w:color="C0C0C0"/>
              <w:right w:val="single" w:sz="6" w:space="0" w:color="C0C0C0"/>
            </w:tcBorders>
          </w:tcPr>
          <w:p w14:paraId="0DFBBBEA" w14:textId="77777777" w:rsidR="00214D95" w:rsidRDefault="00214D95">
            <w:pPr>
              <w:pStyle w:val="TableParagraph"/>
              <w:rPr>
                <w:rFonts w:ascii="Calibri"/>
              </w:rPr>
            </w:pPr>
          </w:p>
          <w:p w14:paraId="0D64B210" w14:textId="77777777" w:rsidR="00214D95" w:rsidRDefault="00214D95">
            <w:pPr>
              <w:pStyle w:val="TableParagraph"/>
              <w:spacing w:before="4"/>
              <w:rPr>
                <w:rFonts w:ascii="Calibri"/>
                <w:sz w:val="19"/>
              </w:rPr>
            </w:pPr>
          </w:p>
          <w:p w14:paraId="6B0FD02C" w14:textId="77777777" w:rsidR="00214D95" w:rsidRDefault="007D27A7">
            <w:pPr>
              <w:pStyle w:val="TableParagraph"/>
              <w:ind w:left="149" w:right="135"/>
              <w:jc w:val="center"/>
              <w:rPr>
                <w:sz w:val="18"/>
              </w:rPr>
            </w:pPr>
            <w:r>
              <w:rPr>
                <w:sz w:val="18"/>
              </w:rPr>
              <w:t>(</w:t>
            </w:r>
            <w:proofErr w:type="gramStart"/>
            <w:r>
              <w:rPr>
                <w:sz w:val="18"/>
              </w:rPr>
              <w:t>2)%</w:t>
            </w:r>
            <w:proofErr w:type="gramEnd"/>
          </w:p>
        </w:tc>
        <w:tc>
          <w:tcPr>
            <w:tcW w:w="1272" w:type="dxa"/>
            <w:tcBorders>
              <w:top w:val="single" w:sz="4" w:space="0" w:color="000000"/>
              <w:left w:val="single" w:sz="6" w:space="0" w:color="C0C0C0"/>
            </w:tcBorders>
          </w:tcPr>
          <w:p w14:paraId="58B2294F" w14:textId="77777777" w:rsidR="00214D95" w:rsidRDefault="00214D95">
            <w:pPr>
              <w:pStyle w:val="TableParagraph"/>
              <w:rPr>
                <w:rFonts w:ascii="Calibri"/>
              </w:rPr>
            </w:pPr>
          </w:p>
          <w:p w14:paraId="45E7A952" w14:textId="77777777" w:rsidR="00214D95" w:rsidRDefault="00214D95">
            <w:pPr>
              <w:pStyle w:val="TableParagraph"/>
              <w:spacing w:before="4"/>
              <w:rPr>
                <w:rFonts w:ascii="Calibri"/>
                <w:sz w:val="19"/>
              </w:rPr>
            </w:pPr>
          </w:p>
          <w:p w14:paraId="63577EA9" w14:textId="77777777" w:rsidR="00214D95" w:rsidRDefault="007D27A7">
            <w:pPr>
              <w:pStyle w:val="TableParagraph"/>
              <w:ind w:left="119" w:right="101"/>
              <w:jc w:val="center"/>
              <w:rPr>
                <w:sz w:val="18"/>
              </w:rPr>
            </w:pPr>
            <w:r>
              <w:rPr>
                <w:sz w:val="18"/>
              </w:rPr>
              <w:t>(0-</w:t>
            </w:r>
            <w:proofErr w:type="gramStart"/>
            <w:r>
              <w:rPr>
                <w:sz w:val="18"/>
              </w:rPr>
              <w:t>1)%</w:t>
            </w:r>
            <w:proofErr w:type="gramEnd"/>
          </w:p>
        </w:tc>
      </w:tr>
      <w:tr w:rsidR="00214D95" w14:paraId="0C1F65CD" w14:textId="77777777">
        <w:trPr>
          <w:trHeight w:val="1549"/>
        </w:trPr>
        <w:tc>
          <w:tcPr>
            <w:tcW w:w="1493" w:type="dxa"/>
            <w:tcBorders>
              <w:right w:val="single" w:sz="6" w:space="0" w:color="C0C0C0"/>
            </w:tcBorders>
          </w:tcPr>
          <w:p w14:paraId="3FF7ACD3" w14:textId="77777777" w:rsidR="00214D95" w:rsidRDefault="007D27A7">
            <w:pPr>
              <w:pStyle w:val="TableParagraph"/>
              <w:spacing w:before="123" w:line="367" w:lineRule="auto"/>
              <w:ind w:left="538" w:right="127" w:hanging="378"/>
              <w:rPr>
                <w:sz w:val="18"/>
              </w:rPr>
            </w:pPr>
            <w:r>
              <w:rPr>
                <w:sz w:val="18"/>
              </w:rPr>
              <w:t xml:space="preserve">Process Analysis </w:t>
            </w:r>
            <w:r>
              <w:rPr>
                <w:color w:val="FF0000"/>
                <w:sz w:val="18"/>
              </w:rPr>
              <w:t>(50%)</w:t>
            </w:r>
          </w:p>
        </w:tc>
        <w:tc>
          <w:tcPr>
            <w:tcW w:w="5453" w:type="dxa"/>
            <w:tcBorders>
              <w:left w:val="single" w:sz="6" w:space="0" w:color="C0C0C0"/>
              <w:right w:val="single" w:sz="6" w:space="0" w:color="C0C0C0"/>
            </w:tcBorders>
          </w:tcPr>
          <w:p w14:paraId="1BAE03C7" w14:textId="77777777" w:rsidR="00214D95" w:rsidRDefault="007D27A7">
            <w:pPr>
              <w:pStyle w:val="TableParagraph"/>
              <w:spacing w:before="68"/>
              <w:ind w:left="107"/>
              <w:rPr>
                <w:sz w:val="18"/>
              </w:rPr>
            </w:pPr>
            <w:r>
              <w:rPr>
                <w:sz w:val="18"/>
              </w:rPr>
              <w:t>This is first core section of the report. Include the following parts:</w:t>
            </w:r>
          </w:p>
          <w:p w14:paraId="7DD3BD0F" w14:textId="77777777" w:rsidR="00214D95" w:rsidRDefault="007D27A7">
            <w:pPr>
              <w:pStyle w:val="TableParagraph"/>
              <w:numPr>
                <w:ilvl w:val="0"/>
                <w:numId w:val="2"/>
              </w:numPr>
              <w:tabs>
                <w:tab w:val="left" w:pos="496"/>
              </w:tabs>
              <w:spacing w:before="54"/>
              <w:rPr>
                <w:sz w:val="18"/>
              </w:rPr>
            </w:pPr>
            <w:r>
              <w:rPr>
                <w:sz w:val="18"/>
              </w:rPr>
              <w:t>Cycle time efficiency</w:t>
            </w:r>
            <w:r>
              <w:rPr>
                <w:spacing w:val="-7"/>
                <w:sz w:val="18"/>
              </w:rPr>
              <w:t xml:space="preserve"> </w:t>
            </w:r>
            <w:r>
              <w:rPr>
                <w:sz w:val="18"/>
              </w:rPr>
              <w:t>(10%)</w:t>
            </w:r>
          </w:p>
          <w:p w14:paraId="3F08EB80" w14:textId="77777777" w:rsidR="00214D95" w:rsidRDefault="007D27A7">
            <w:pPr>
              <w:pStyle w:val="TableParagraph"/>
              <w:numPr>
                <w:ilvl w:val="0"/>
                <w:numId w:val="2"/>
              </w:numPr>
              <w:tabs>
                <w:tab w:val="left" w:pos="496"/>
              </w:tabs>
              <w:spacing w:before="1"/>
              <w:rPr>
                <w:sz w:val="18"/>
              </w:rPr>
            </w:pPr>
            <w:r>
              <w:rPr>
                <w:sz w:val="18"/>
              </w:rPr>
              <w:t>Value-added analysis</w:t>
            </w:r>
            <w:r>
              <w:rPr>
                <w:spacing w:val="-4"/>
                <w:sz w:val="18"/>
              </w:rPr>
              <w:t xml:space="preserve"> </w:t>
            </w:r>
            <w:r>
              <w:rPr>
                <w:sz w:val="18"/>
              </w:rPr>
              <w:t>(5%)</w:t>
            </w:r>
          </w:p>
          <w:p w14:paraId="543F5B80" w14:textId="77777777" w:rsidR="00214D95" w:rsidRDefault="007D27A7">
            <w:pPr>
              <w:pStyle w:val="TableParagraph"/>
              <w:numPr>
                <w:ilvl w:val="0"/>
                <w:numId w:val="2"/>
              </w:numPr>
              <w:tabs>
                <w:tab w:val="left" w:pos="496"/>
              </w:tabs>
              <w:spacing w:before="1" w:line="227" w:lineRule="exact"/>
              <w:rPr>
                <w:sz w:val="18"/>
              </w:rPr>
            </w:pPr>
            <w:r>
              <w:rPr>
                <w:sz w:val="18"/>
              </w:rPr>
              <w:t>Waste analysis</w:t>
            </w:r>
            <w:r>
              <w:rPr>
                <w:spacing w:val="-4"/>
                <w:sz w:val="18"/>
              </w:rPr>
              <w:t xml:space="preserve"> </w:t>
            </w:r>
            <w:r>
              <w:rPr>
                <w:sz w:val="18"/>
              </w:rPr>
              <w:t>(10%)</w:t>
            </w:r>
          </w:p>
          <w:p w14:paraId="1DA61AB7" w14:textId="77777777" w:rsidR="00214D95" w:rsidRDefault="007D27A7">
            <w:pPr>
              <w:pStyle w:val="TableParagraph"/>
              <w:numPr>
                <w:ilvl w:val="0"/>
                <w:numId w:val="2"/>
              </w:numPr>
              <w:tabs>
                <w:tab w:val="left" w:pos="496"/>
              </w:tabs>
              <w:spacing w:line="227" w:lineRule="exact"/>
              <w:rPr>
                <w:sz w:val="18"/>
              </w:rPr>
            </w:pPr>
            <w:r>
              <w:rPr>
                <w:sz w:val="18"/>
              </w:rPr>
              <w:t>Issue register</w:t>
            </w:r>
            <w:r>
              <w:rPr>
                <w:spacing w:val="-4"/>
                <w:sz w:val="18"/>
              </w:rPr>
              <w:t xml:space="preserve"> </w:t>
            </w:r>
            <w:r>
              <w:rPr>
                <w:sz w:val="18"/>
              </w:rPr>
              <w:t>(20%)</w:t>
            </w:r>
          </w:p>
          <w:p w14:paraId="085B9076" w14:textId="77777777" w:rsidR="00214D95" w:rsidRDefault="007D27A7">
            <w:pPr>
              <w:pStyle w:val="TableParagraph"/>
              <w:numPr>
                <w:ilvl w:val="0"/>
                <w:numId w:val="2"/>
              </w:numPr>
              <w:tabs>
                <w:tab w:val="left" w:pos="496"/>
              </w:tabs>
              <w:spacing w:before="1"/>
              <w:rPr>
                <w:sz w:val="18"/>
              </w:rPr>
            </w:pPr>
            <w:r>
              <w:rPr>
                <w:sz w:val="18"/>
              </w:rPr>
              <w:t>Why-why or Cause-effect diagram</w:t>
            </w:r>
            <w:r>
              <w:rPr>
                <w:spacing w:val="-6"/>
                <w:sz w:val="18"/>
              </w:rPr>
              <w:t xml:space="preserve"> </w:t>
            </w:r>
            <w:r>
              <w:rPr>
                <w:sz w:val="18"/>
              </w:rPr>
              <w:t>(5%)</w:t>
            </w:r>
          </w:p>
        </w:tc>
        <w:tc>
          <w:tcPr>
            <w:tcW w:w="989" w:type="dxa"/>
            <w:tcBorders>
              <w:left w:val="single" w:sz="6" w:space="0" w:color="C0C0C0"/>
              <w:right w:val="single" w:sz="6" w:space="0" w:color="C0C0C0"/>
            </w:tcBorders>
          </w:tcPr>
          <w:p w14:paraId="3BC1B843" w14:textId="77777777" w:rsidR="00214D95" w:rsidRDefault="00214D95">
            <w:pPr>
              <w:pStyle w:val="TableParagraph"/>
              <w:rPr>
                <w:rFonts w:ascii="Calibri"/>
              </w:rPr>
            </w:pPr>
          </w:p>
          <w:p w14:paraId="11C6C16D" w14:textId="77777777" w:rsidR="00214D95" w:rsidRDefault="00214D95">
            <w:pPr>
              <w:pStyle w:val="TableParagraph"/>
              <w:spacing w:before="9"/>
              <w:rPr>
                <w:rFonts w:ascii="Calibri"/>
                <w:sz w:val="32"/>
              </w:rPr>
            </w:pPr>
          </w:p>
          <w:p w14:paraId="10F73955" w14:textId="77777777" w:rsidR="00214D95" w:rsidRDefault="007D27A7">
            <w:pPr>
              <w:pStyle w:val="TableParagraph"/>
              <w:ind w:left="149" w:right="129"/>
              <w:jc w:val="center"/>
              <w:rPr>
                <w:sz w:val="18"/>
              </w:rPr>
            </w:pPr>
            <w:r>
              <w:rPr>
                <w:sz w:val="18"/>
              </w:rPr>
              <w:t>(45-</w:t>
            </w:r>
            <w:proofErr w:type="gramStart"/>
            <w:r>
              <w:rPr>
                <w:sz w:val="18"/>
              </w:rPr>
              <w:t>50)%</w:t>
            </w:r>
            <w:proofErr w:type="gramEnd"/>
          </w:p>
        </w:tc>
        <w:tc>
          <w:tcPr>
            <w:tcW w:w="1138" w:type="dxa"/>
            <w:tcBorders>
              <w:left w:val="single" w:sz="6" w:space="0" w:color="C0C0C0"/>
              <w:right w:val="single" w:sz="6" w:space="0" w:color="C0C0C0"/>
            </w:tcBorders>
          </w:tcPr>
          <w:p w14:paraId="775F3756" w14:textId="77777777" w:rsidR="00214D95" w:rsidRDefault="00214D95">
            <w:pPr>
              <w:pStyle w:val="TableParagraph"/>
              <w:rPr>
                <w:rFonts w:ascii="Calibri"/>
              </w:rPr>
            </w:pPr>
          </w:p>
          <w:p w14:paraId="1ADAC6B2" w14:textId="77777777" w:rsidR="00214D95" w:rsidRDefault="00214D95">
            <w:pPr>
              <w:pStyle w:val="TableParagraph"/>
              <w:spacing w:before="9"/>
              <w:rPr>
                <w:rFonts w:ascii="Calibri"/>
                <w:sz w:val="32"/>
              </w:rPr>
            </w:pPr>
          </w:p>
          <w:p w14:paraId="5605563B" w14:textId="77777777" w:rsidR="00214D95" w:rsidRDefault="007D27A7">
            <w:pPr>
              <w:pStyle w:val="TableParagraph"/>
              <w:ind w:left="149" w:right="128"/>
              <w:jc w:val="center"/>
              <w:rPr>
                <w:sz w:val="18"/>
              </w:rPr>
            </w:pPr>
            <w:r>
              <w:rPr>
                <w:sz w:val="18"/>
              </w:rPr>
              <w:t>(30-</w:t>
            </w:r>
            <w:proofErr w:type="gramStart"/>
            <w:r>
              <w:rPr>
                <w:sz w:val="18"/>
              </w:rPr>
              <w:t>44)%</w:t>
            </w:r>
            <w:proofErr w:type="gramEnd"/>
          </w:p>
        </w:tc>
        <w:tc>
          <w:tcPr>
            <w:tcW w:w="994" w:type="dxa"/>
            <w:tcBorders>
              <w:left w:val="single" w:sz="6" w:space="0" w:color="C0C0C0"/>
              <w:right w:val="single" w:sz="6" w:space="0" w:color="C0C0C0"/>
            </w:tcBorders>
          </w:tcPr>
          <w:p w14:paraId="25C9FEC9" w14:textId="77777777" w:rsidR="00214D95" w:rsidRDefault="00214D95">
            <w:pPr>
              <w:pStyle w:val="TableParagraph"/>
              <w:rPr>
                <w:rFonts w:ascii="Calibri"/>
              </w:rPr>
            </w:pPr>
          </w:p>
          <w:p w14:paraId="51402755" w14:textId="77777777" w:rsidR="00214D95" w:rsidRDefault="00214D95">
            <w:pPr>
              <w:pStyle w:val="TableParagraph"/>
              <w:spacing w:before="9"/>
              <w:rPr>
                <w:rFonts w:ascii="Calibri"/>
                <w:sz w:val="32"/>
              </w:rPr>
            </w:pPr>
          </w:p>
          <w:p w14:paraId="2531B834" w14:textId="77777777" w:rsidR="00214D95" w:rsidRDefault="007D27A7">
            <w:pPr>
              <w:pStyle w:val="TableParagraph"/>
              <w:ind w:left="149" w:right="135"/>
              <w:jc w:val="center"/>
              <w:rPr>
                <w:sz w:val="18"/>
              </w:rPr>
            </w:pPr>
            <w:r>
              <w:rPr>
                <w:sz w:val="18"/>
              </w:rPr>
              <w:t>(16-</w:t>
            </w:r>
            <w:proofErr w:type="gramStart"/>
            <w:r>
              <w:rPr>
                <w:sz w:val="18"/>
              </w:rPr>
              <w:t>29)%</w:t>
            </w:r>
            <w:proofErr w:type="gramEnd"/>
          </w:p>
        </w:tc>
        <w:tc>
          <w:tcPr>
            <w:tcW w:w="1272" w:type="dxa"/>
            <w:tcBorders>
              <w:left w:val="single" w:sz="6" w:space="0" w:color="C0C0C0"/>
            </w:tcBorders>
          </w:tcPr>
          <w:p w14:paraId="7F7471F0" w14:textId="77777777" w:rsidR="00214D95" w:rsidRDefault="00214D95">
            <w:pPr>
              <w:pStyle w:val="TableParagraph"/>
              <w:rPr>
                <w:rFonts w:ascii="Calibri"/>
              </w:rPr>
            </w:pPr>
          </w:p>
          <w:p w14:paraId="3143F63B" w14:textId="77777777" w:rsidR="00214D95" w:rsidRDefault="00214D95">
            <w:pPr>
              <w:pStyle w:val="TableParagraph"/>
              <w:spacing w:before="9"/>
              <w:rPr>
                <w:rFonts w:ascii="Calibri"/>
                <w:sz w:val="32"/>
              </w:rPr>
            </w:pPr>
          </w:p>
          <w:p w14:paraId="1749FA98" w14:textId="77777777" w:rsidR="00214D95" w:rsidRDefault="007D27A7">
            <w:pPr>
              <w:pStyle w:val="TableParagraph"/>
              <w:ind w:left="119" w:right="102"/>
              <w:jc w:val="center"/>
              <w:rPr>
                <w:sz w:val="18"/>
              </w:rPr>
            </w:pPr>
            <w:r>
              <w:rPr>
                <w:sz w:val="18"/>
              </w:rPr>
              <w:t>(0-</w:t>
            </w:r>
            <w:proofErr w:type="gramStart"/>
            <w:r>
              <w:rPr>
                <w:sz w:val="18"/>
              </w:rPr>
              <w:t>15)%</w:t>
            </w:r>
            <w:proofErr w:type="gramEnd"/>
          </w:p>
        </w:tc>
      </w:tr>
      <w:tr w:rsidR="00214D95" w14:paraId="549C7ACC" w14:textId="77777777">
        <w:trPr>
          <w:trHeight w:val="1084"/>
        </w:trPr>
        <w:tc>
          <w:tcPr>
            <w:tcW w:w="1493" w:type="dxa"/>
            <w:tcBorders>
              <w:right w:val="single" w:sz="6" w:space="0" w:color="C0C0C0"/>
            </w:tcBorders>
          </w:tcPr>
          <w:p w14:paraId="2B910F03" w14:textId="77777777" w:rsidR="00214D95" w:rsidRDefault="007D27A7">
            <w:pPr>
              <w:pStyle w:val="TableParagraph"/>
              <w:spacing w:before="118" w:line="372" w:lineRule="auto"/>
              <w:ind w:left="538" w:right="88" w:hanging="416"/>
              <w:rPr>
                <w:sz w:val="18"/>
              </w:rPr>
            </w:pPr>
            <w:r>
              <w:rPr>
                <w:sz w:val="18"/>
              </w:rPr>
              <w:t xml:space="preserve">Process Redesign </w:t>
            </w:r>
            <w:r>
              <w:rPr>
                <w:color w:val="FF0000"/>
                <w:sz w:val="18"/>
              </w:rPr>
              <w:t>(35%)</w:t>
            </w:r>
          </w:p>
        </w:tc>
        <w:tc>
          <w:tcPr>
            <w:tcW w:w="5453" w:type="dxa"/>
            <w:tcBorders>
              <w:left w:val="single" w:sz="6" w:space="0" w:color="C0C0C0"/>
              <w:right w:val="single" w:sz="6" w:space="0" w:color="C0C0C0"/>
            </w:tcBorders>
          </w:tcPr>
          <w:p w14:paraId="76F9C000" w14:textId="77777777" w:rsidR="00214D95" w:rsidRDefault="007D27A7">
            <w:pPr>
              <w:pStyle w:val="TableParagraph"/>
              <w:spacing w:before="63"/>
              <w:ind w:left="107"/>
              <w:rPr>
                <w:sz w:val="18"/>
              </w:rPr>
            </w:pPr>
            <w:r>
              <w:rPr>
                <w:sz w:val="18"/>
              </w:rPr>
              <w:t>This is second core section of the report. Include the following parts:</w:t>
            </w:r>
          </w:p>
          <w:p w14:paraId="6647BF00" w14:textId="77777777" w:rsidR="00214D95" w:rsidRDefault="007D27A7">
            <w:pPr>
              <w:pStyle w:val="TableParagraph"/>
              <w:numPr>
                <w:ilvl w:val="0"/>
                <w:numId w:val="1"/>
              </w:numPr>
              <w:tabs>
                <w:tab w:val="left" w:pos="496"/>
              </w:tabs>
              <w:spacing w:before="54"/>
              <w:rPr>
                <w:sz w:val="18"/>
              </w:rPr>
            </w:pPr>
            <w:r>
              <w:rPr>
                <w:sz w:val="18"/>
              </w:rPr>
              <w:t>Description of each proposed process change</w:t>
            </w:r>
            <w:r>
              <w:rPr>
                <w:spacing w:val="-14"/>
                <w:sz w:val="18"/>
              </w:rPr>
              <w:t xml:space="preserve"> </w:t>
            </w:r>
            <w:r>
              <w:rPr>
                <w:sz w:val="18"/>
              </w:rPr>
              <w:t>(15%)</w:t>
            </w:r>
          </w:p>
          <w:p w14:paraId="69775EB4" w14:textId="77777777" w:rsidR="00214D95" w:rsidRDefault="007D27A7">
            <w:pPr>
              <w:pStyle w:val="TableParagraph"/>
              <w:numPr>
                <w:ilvl w:val="0"/>
                <w:numId w:val="1"/>
              </w:numPr>
              <w:tabs>
                <w:tab w:val="left" w:pos="496"/>
              </w:tabs>
              <w:spacing w:before="1"/>
              <w:rPr>
                <w:sz w:val="18"/>
              </w:rPr>
            </w:pPr>
            <w:proofErr w:type="spellStart"/>
            <w:r>
              <w:rPr>
                <w:sz w:val="18"/>
              </w:rPr>
              <w:t>Prioritisation</w:t>
            </w:r>
            <w:proofErr w:type="spellEnd"/>
            <w:r>
              <w:rPr>
                <w:sz w:val="18"/>
              </w:rPr>
              <w:t xml:space="preserve"> of changes based on pick-chart or pareto-chart</w:t>
            </w:r>
            <w:r>
              <w:rPr>
                <w:spacing w:val="-27"/>
                <w:sz w:val="18"/>
              </w:rPr>
              <w:t xml:space="preserve"> </w:t>
            </w:r>
            <w:r>
              <w:rPr>
                <w:sz w:val="18"/>
              </w:rPr>
              <w:t>(10%)</w:t>
            </w:r>
          </w:p>
          <w:p w14:paraId="23791B53" w14:textId="77777777" w:rsidR="00214D95" w:rsidRDefault="007D27A7">
            <w:pPr>
              <w:pStyle w:val="TableParagraph"/>
              <w:numPr>
                <w:ilvl w:val="0"/>
                <w:numId w:val="1"/>
              </w:numPr>
              <w:tabs>
                <w:tab w:val="left" w:pos="496"/>
              </w:tabs>
              <w:spacing w:before="1"/>
              <w:rPr>
                <w:sz w:val="18"/>
              </w:rPr>
            </w:pPr>
            <w:r>
              <w:rPr>
                <w:sz w:val="18"/>
              </w:rPr>
              <w:t>To-be process model</w:t>
            </w:r>
            <w:r>
              <w:rPr>
                <w:spacing w:val="-5"/>
                <w:sz w:val="18"/>
              </w:rPr>
              <w:t xml:space="preserve"> </w:t>
            </w:r>
            <w:r>
              <w:rPr>
                <w:sz w:val="18"/>
              </w:rPr>
              <w:t>(10%)</w:t>
            </w:r>
          </w:p>
        </w:tc>
        <w:tc>
          <w:tcPr>
            <w:tcW w:w="989" w:type="dxa"/>
            <w:tcBorders>
              <w:left w:val="single" w:sz="6" w:space="0" w:color="C0C0C0"/>
              <w:right w:val="single" w:sz="6" w:space="0" w:color="C0C0C0"/>
            </w:tcBorders>
          </w:tcPr>
          <w:p w14:paraId="781A0342" w14:textId="77777777" w:rsidR="00214D95" w:rsidRDefault="00214D95">
            <w:pPr>
              <w:pStyle w:val="TableParagraph"/>
              <w:rPr>
                <w:rFonts w:ascii="Calibri"/>
              </w:rPr>
            </w:pPr>
          </w:p>
          <w:p w14:paraId="18FBFF74" w14:textId="77777777" w:rsidR="00214D95" w:rsidRDefault="007D27A7">
            <w:pPr>
              <w:pStyle w:val="TableParagraph"/>
              <w:spacing w:before="169"/>
              <w:ind w:left="148" w:right="129"/>
              <w:jc w:val="center"/>
              <w:rPr>
                <w:sz w:val="18"/>
              </w:rPr>
            </w:pPr>
            <w:r>
              <w:rPr>
                <w:sz w:val="18"/>
              </w:rPr>
              <w:t>(32-</w:t>
            </w:r>
            <w:proofErr w:type="gramStart"/>
            <w:r>
              <w:rPr>
                <w:sz w:val="18"/>
              </w:rPr>
              <w:t>35)%</w:t>
            </w:r>
            <w:proofErr w:type="gramEnd"/>
          </w:p>
        </w:tc>
        <w:tc>
          <w:tcPr>
            <w:tcW w:w="1138" w:type="dxa"/>
            <w:tcBorders>
              <w:left w:val="single" w:sz="6" w:space="0" w:color="C0C0C0"/>
              <w:right w:val="single" w:sz="6" w:space="0" w:color="C0C0C0"/>
            </w:tcBorders>
          </w:tcPr>
          <w:p w14:paraId="1683BE04" w14:textId="77777777" w:rsidR="00214D95" w:rsidRDefault="00214D95">
            <w:pPr>
              <w:pStyle w:val="TableParagraph"/>
              <w:rPr>
                <w:rFonts w:ascii="Calibri"/>
              </w:rPr>
            </w:pPr>
          </w:p>
          <w:p w14:paraId="571D4DC2" w14:textId="77777777" w:rsidR="00214D95" w:rsidRDefault="007D27A7">
            <w:pPr>
              <w:pStyle w:val="TableParagraph"/>
              <w:spacing w:before="169"/>
              <w:ind w:left="149" w:right="128"/>
              <w:jc w:val="center"/>
              <w:rPr>
                <w:sz w:val="18"/>
              </w:rPr>
            </w:pPr>
            <w:r>
              <w:rPr>
                <w:sz w:val="18"/>
              </w:rPr>
              <w:t>(25-</w:t>
            </w:r>
            <w:proofErr w:type="gramStart"/>
            <w:r>
              <w:rPr>
                <w:sz w:val="18"/>
              </w:rPr>
              <w:t>31)%</w:t>
            </w:r>
            <w:proofErr w:type="gramEnd"/>
          </w:p>
        </w:tc>
        <w:tc>
          <w:tcPr>
            <w:tcW w:w="994" w:type="dxa"/>
            <w:tcBorders>
              <w:left w:val="single" w:sz="6" w:space="0" w:color="C0C0C0"/>
              <w:right w:val="single" w:sz="6" w:space="0" w:color="C0C0C0"/>
            </w:tcBorders>
          </w:tcPr>
          <w:p w14:paraId="1A3CEF0F" w14:textId="77777777" w:rsidR="00214D95" w:rsidRDefault="00214D95">
            <w:pPr>
              <w:pStyle w:val="TableParagraph"/>
              <w:rPr>
                <w:rFonts w:ascii="Calibri"/>
              </w:rPr>
            </w:pPr>
          </w:p>
          <w:p w14:paraId="2EABD549" w14:textId="77777777" w:rsidR="00214D95" w:rsidRDefault="007D27A7">
            <w:pPr>
              <w:pStyle w:val="TableParagraph"/>
              <w:spacing w:before="169"/>
              <w:ind w:left="149" w:right="135"/>
              <w:jc w:val="center"/>
              <w:rPr>
                <w:sz w:val="18"/>
              </w:rPr>
            </w:pPr>
            <w:r>
              <w:rPr>
                <w:sz w:val="18"/>
              </w:rPr>
              <w:t>(13-</w:t>
            </w:r>
            <w:proofErr w:type="gramStart"/>
            <w:r>
              <w:rPr>
                <w:sz w:val="18"/>
              </w:rPr>
              <w:t>24)%</w:t>
            </w:r>
            <w:proofErr w:type="gramEnd"/>
          </w:p>
        </w:tc>
        <w:tc>
          <w:tcPr>
            <w:tcW w:w="1272" w:type="dxa"/>
            <w:tcBorders>
              <w:left w:val="single" w:sz="6" w:space="0" w:color="C0C0C0"/>
            </w:tcBorders>
          </w:tcPr>
          <w:p w14:paraId="11222C43" w14:textId="77777777" w:rsidR="00214D95" w:rsidRDefault="00214D95">
            <w:pPr>
              <w:pStyle w:val="TableParagraph"/>
              <w:rPr>
                <w:rFonts w:ascii="Calibri"/>
              </w:rPr>
            </w:pPr>
          </w:p>
          <w:p w14:paraId="6708B88A" w14:textId="77777777" w:rsidR="00214D95" w:rsidRDefault="007D27A7">
            <w:pPr>
              <w:pStyle w:val="TableParagraph"/>
              <w:spacing w:before="169"/>
              <w:ind w:left="119" w:right="102"/>
              <w:jc w:val="center"/>
              <w:rPr>
                <w:sz w:val="18"/>
              </w:rPr>
            </w:pPr>
            <w:r>
              <w:rPr>
                <w:sz w:val="18"/>
              </w:rPr>
              <w:t>(0-</w:t>
            </w:r>
            <w:proofErr w:type="gramStart"/>
            <w:r>
              <w:rPr>
                <w:sz w:val="18"/>
              </w:rPr>
              <w:t>12)%</w:t>
            </w:r>
            <w:proofErr w:type="gramEnd"/>
          </w:p>
        </w:tc>
      </w:tr>
      <w:tr w:rsidR="00214D95" w14:paraId="5E2FD4EB" w14:textId="77777777">
        <w:trPr>
          <w:trHeight w:val="1002"/>
        </w:trPr>
        <w:tc>
          <w:tcPr>
            <w:tcW w:w="1493" w:type="dxa"/>
            <w:tcBorders>
              <w:right w:val="single" w:sz="6" w:space="0" w:color="C0C0C0"/>
            </w:tcBorders>
          </w:tcPr>
          <w:p w14:paraId="121FB6D5" w14:textId="77777777" w:rsidR="00214D95" w:rsidRDefault="007D27A7">
            <w:pPr>
              <w:pStyle w:val="TableParagraph"/>
              <w:spacing w:before="118"/>
              <w:ind w:left="583" w:right="250" w:hanging="301"/>
              <w:rPr>
                <w:sz w:val="18"/>
              </w:rPr>
            </w:pPr>
            <w:r>
              <w:rPr>
                <w:sz w:val="18"/>
              </w:rPr>
              <w:t xml:space="preserve">Assumptions </w:t>
            </w:r>
            <w:r>
              <w:rPr>
                <w:color w:val="FF0000"/>
                <w:sz w:val="18"/>
              </w:rPr>
              <w:t>(5%)</w:t>
            </w:r>
          </w:p>
        </w:tc>
        <w:tc>
          <w:tcPr>
            <w:tcW w:w="5453" w:type="dxa"/>
            <w:tcBorders>
              <w:left w:val="single" w:sz="6" w:space="0" w:color="C0C0C0"/>
              <w:right w:val="single" w:sz="6" w:space="0" w:color="C0C0C0"/>
            </w:tcBorders>
          </w:tcPr>
          <w:p w14:paraId="65B5D13C" w14:textId="77777777" w:rsidR="00214D95" w:rsidRDefault="007D27A7">
            <w:pPr>
              <w:pStyle w:val="TableParagraph"/>
              <w:spacing w:before="63"/>
              <w:ind w:left="107" w:right="89"/>
              <w:jc w:val="both"/>
              <w:rPr>
                <w:sz w:val="18"/>
              </w:rPr>
            </w:pPr>
            <w:r>
              <w:rPr>
                <w:sz w:val="18"/>
              </w:rPr>
              <w:t>Describe any assumptions related to the various activities performed as part of this report, e.g. assumptions in computing cycle time efficiency, assumptions in estimating the impact of issues, assumptions in estimating the impact and difficulty of impleme</w:t>
            </w:r>
            <w:r>
              <w:rPr>
                <w:sz w:val="18"/>
              </w:rPr>
              <w:t>nting changes.</w:t>
            </w:r>
          </w:p>
        </w:tc>
        <w:tc>
          <w:tcPr>
            <w:tcW w:w="989" w:type="dxa"/>
            <w:tcBorders>
              <w:left w:val="single" w:sz="6" w:space="0" w:color="C0C0C0"/>
              <w:right w:val="single" w:sz="6" w:space="0" w:color="C0C0C0"/>
            </w:tcBorders>
          </w:tcPr>
          <w:p w14:paraId="0B28CC0F" w14:textId="77777777" w:rsidR="00214D95" w:rsidRDefault="00214D95">
            <w:pPr>
              <w:pStyle w:val="TableParagraph"/>
              <w:spacing w:before="4"/>
              <w:rPr>
                <w:rFonts w:ascii="Calibri"/>
                <w:sz w:val="32"/>
              </w:rPr>
            </w:pPr>
          </w:p>
          <w:p w14:paraId="37290616" w14:textId="77777777" w:rsidR="00214D95" w:rsidRDefault="007D27A7">
            <w:pPr>
              <w:pStyle w:val="TableParagraph"/>
              <w:ind w:left="148" w:right="129"/>
              <w:jc w:val="center"/>
              <w:rPr>
                <w:sz w:val="18"/>
              </w:rPr>
            </w:pPr>
            <w:r>
              <w:rPr>
                <w:sz w:val="18"/>
              </w:rPr>
              <w:t>(</w:t>
            </w:r>
            <w:proofErr w:type="gramStart"/>
            <w:r>
              <w:rPr>
                <w:sz w:val="18"/>
              </w:rPr>
              <w:t>5)%</w:t>
            </w:r>
            <w:proofErr w:type="gramEnd"/>
          </w:p>
        </w:tc>
        <w:tc>
          <w:tcPr>
            <w:tcW w:w="1138" w:type="dxa"/>
            <w:tcBorders>
              <w:left w:val="single" w:sz="6" w:space="0" w:color="C0C0C0"/>
              <w:right w:val="single" w:sz="6" w:space="0" w:color="C0C0C0"/>
            </w:tcBorders>
          </w:tcPr>
          <w:p w14:paraId="3BDB3B08" w14:textId="77777777" w:rsidR="00214D95" w:rsidRDefault="00214D95">
            <w:pPr>
              <w:pStyle w:val="TableParagraph"/>
              <w:spacing w:before="4"/>
              <w:rPr>
                <w:rFonts w:ascii="Calibri"/>
                <w:sz w:val="32"/>
              </w:rPr>
            </w:pPr>
          </w:p>
          <w:p w14:paraId="64746EDB" w14:textId="77777777" w:rsidR="00214D95" w:rsidRDefault="007D27A7">
            <w:pPr>
              <w:pStyle w:val="TableParagraph"/>
              <w:ind w:left="149" w:right="128"/>
              <w:jc w:val="center"/>
              <w:rPr>
                <w:sz w:val="18"/>
              </w:rPr>
            </w:pPr>
            <w:r>
              <w:rPr>
                <w:sz w:val="18"/>
              </w:rPr>
              <w:t>(3-</w:t>
            </w:r>
            <w:proofErr w:type="gramStart"/>
            <w:r>
              <w:rPr>
                <w:sz w:val="18"/>
              </w:rPr>
              <w:t>4)%</w:t>
            </w:r>
            <w:proofErr w:type="gramEnd"/>
          </w:p>
        </w:tc>
        <w:tc>
          <w:tcPr>
            <w:tcW w:w="994" w:type="dxa"/>
            <w:tcBorders>
              <w:left w:val="single" w:sz="6" w:space="0" w:color="C0C0C0"/>
              <w:right w:val="single" w:sz="6" w:space="0" w:color="C0C0C0"/>
            </w:tcBorders>
          </w:tcPr>
          <w:p w14:paraId="61CDB64D" w14:textId="77777777" w:rsidR="00214D95" w:rsidRDefault="00214D95">
            <w:pPr>
              <w:pStyle w:val="TableParagraph"/>
              <w:spacing w:before="4"/>
              <w:rPr>
                <w:rFonts w:ascii="Calibri"/>
                <w:sz w:val="32"/>
              </w:rPr>
            </w:pPr>
          </w:p>
          <w:p w14:paraId="2BD793A5" w14:textId="77777777" w:rsidR="00214D95" w:rsidRDefault="007D27A7">
            <w:pPr>
              <w:pStyle w:val="TableParagraph"/>
              <w:ind w:left="149" w:right="135"/>
              <w:jc w:val="center"/>
              <w:rPr>
                <w:sz w:val="18"/>
              </w:rPr>
            </w:pPr>
            <w:r>
              <w:rPr>
                <w:sz w:val="18"/>
              </w:rPr>
              <w:t>(</w:t>
            </w:r>
            <w:proofErr w:type="gramStart"/>
            <w:r>
              <w:rPr>
                <w:sz w:val="18"/>
              </w:rPr>
              <w:t>2)%</w:t>
            </w:r>
            <w:proofErr w:type="gramEnd"/>
          </w:p>
        </w:tc>
        <w:tc>
          <w:tcPr>
            <w:tcW w:w="1272" w:type="dxa"/>
            <w:tcBorders>
              <w:left w:val="single" w:sz="6" w:space="0" w:color="C0C0C0"/>
            </w:tcBorders>
          </w:tcPr>
          <w:p w14:paraId="0847FB75" w14:textId="77777777" w:rsidR="00214D95" w:rsidRDefault="00214D95">
            <w:pPr>
              <w:pStyle w:val="TableParagraph"/>
              <w:spacing w:before="4"/>
              <w:rPr>
                <w:rFonts w:ascii="Calibri"/>
                <w:sz w:val="32"/>
              </w:rPr>
            </w:pPr>
          </w:p>
          <w:p w14:paraId="4C867B2A" w14:textId="77777777" w:rsidR="00214D95" w:rsidRDefault="007D27A7">
            <w:pPr>
              <w:pStyle w:val="TableParagraph"/>
              <w:ind w:left="119" w:right="101"/>
              <w:jc w:val="center"/>
              <w:rPr>
                <w:sz w:val="18"/>
              </w:rPr>
            </w:pPr>
            <w:r>
              <w:rPr>
                <w:sz w:val="18"/>
              </w:rPr>
              <w:t>(0-</w:t>
            </w:r>
            <w:proofErr w:type="gramStart"/>
            <w:r>
              <w:rPr>
                <w:sz w:val="18"/>
              </w:rPr>
              <w:t>1)%</w:t>
            </w:r>
            <w:proofErr w:type="gramEnd"/>
          </w:p>
        </w:tc>
      </w:tr>
    </w:tbl>
    <w:p w14:paraId="6C083354" w14:textId="77777777" w:rsidR="00214D95" w:rsidRDefault="00214D95">
      <w:pPr>
        <w:pStyle w:val="BodyText"/>
      </w:pPr>
    </w:p>
    <w:p w14:paraId="11A6164E" w14:textId="77777777" w:rsidR="00214D95" w:rsidRDefault="00214D95">
      <w:pPr>
        <w:pStyle w:val="BodyText"/>
      </w:pPr>
    </w:p>
    <w:p w14:paraId="2BB25A52" w14:textId="77777777" w:rsidR="00214D95" w:rsidRDefault="00214D95">
      <w:pPr>
        <w:pStyle w:val="BodyText"/>
      </w:pPr>
    </w:p>
    <w:p w14:paraId="743FC72A" w14:textId="77777777" w:rsidR="00214D95" w:rsidRDefault="00214D95">
      <w:pPr>
        <w:pStyle w:val="BodyText"/>
      </w:pPr>
    </w:p>
    <w:p w14:paraId="4DC88C1F" w14:textId="77777777" w:rsidR="00214D95" w:rsidRDefault="00214D95">
      <w:pPr>
        <w:pStyle w:val="BodyText"/>
      </w:pPr>
    </w:p>
    <w:p w14:paraId="21B45077" w14:textId="77777777" w:rsidR="00214D95" w:rsidRDefault="00214D95">
      <w:pPr>
        <w:pStyle w:val="BodyText"/>
      </w:pPr>
    </w:p>
    <w:p w14:paraId="1D7F987C" w14:textId="77777777" w:rsidR="00214D95" w:rsidRDefault="00214D95">
      <w:pPr>
        <w:pStyle w:val="BodyText"/>
      </w:pPr>
    </w:p>
    <w:p w14:paraId="430989D0" w14:textId="77777777" w:rsidR="00214D95" w:rsidRDefault="00214D95">
      <w:pPr>
        <w:pStyle w:val="BodyText"/>
      </w:pPr>
    </w:p>
    <w:p w14:paraId="5FF8D650" w14:textId="77777777" w:rsidR="00214D95" w:rsidRDefault="00214D95">
      <w:pPr>
        <w:pStyle w:val="BodyText"/>
      </w:pPr>
    </w:p>
    <w:p w14:paraId="6842AE86" w14:textId="77777777" w:rsidR="00214D95" w:rsidRDefault="00214D95">
      <w:pPr>
        <w:pStyle w:val="BodyText"/>
      </w:pPr>
    </w:p>
    <w:p w14:paraId="612E475C" w14:textId="77777777" w:rsidR="00214D95" w:rsidRDefault="00214D95">
      <w:pPr>
        <w:pStyle w:val="BodyText"/>
      </w:pPr>
    </w:p>
    <w:p w14:paraId="477477DA" w14:textId="77777777" w:rsidR="00214D95" w:rsidRDefault="00214D95">
      <w:pPr>
        <w:pStyle w:val="BodyText"/>
      </w:pPr>
    </w:p>
    <w:p w14:paraId="5A26C175" w14:textId="77777777" w:rsidR="00214D95" w:rsidRDefault="007D27A7">
      <w:pPr>
        <w:pStyle w:val="BodyText"/>
        <w:spacing w:before="8"/>
        <w:rPr>
          <w:sz w:val="18"/>
        </w:rPr>
      </w:pPr>
      <w:r>
        <w:pict w14:anchorId="08DA5C10">
          <v:line id="_x0000_s1026" alt="" style="position:absolute;z-index:-251658752;mso-wrap-edited:f;mso-width-percent:0;mso-height-percent:0;mso-wrap-distance-left:0;mso-wrap-distance-right:0;mso-position-horizontal-relative:page;mso-width-percent:0;mso-height-percent:0" from="89.15pt,13.6pt" to="524pt,13.6pt" strokeweight=".48pt">
            <w10:wrap type="topAndBottom" anchorx="page"/>
          </v:line>
        </w:pict>
      </w:r>
    </w:p>
    <w:p w14:paraId="1BD8887D" w14:textId="7BB65CD0" w:rsidR="00214D95" w:rsidRDefault="007D27A7">
      <w:pPr>
        <w:pStyle w:val="BodyText"/>
        <w:tabs>
          <w:tab w:val="left" w:pos="5659"/>
        </w:tabs>
        <w:ind w:right="1799"/>
        <w:jc w:val="right"/>
      </w:pPr>
      <w:r>
        <w:rPr>
          <w:color w:val="054183"/>
        </w:rPr>
        <w:tab/>
      </w:r>
      <w:bookmarkStart w:id="0" w:name="_GoBack"/>
      <w:bookmarkEnd w:id="0"/>
    </w:p>
    <w:p w14:paraId="5CF8D4DD" w14:textId="77777777" w:rsidR="00214D95" w:rsidRDefault="00214D95">
      <w:pPr>
        <w:pStyle w:val="BodyText"/>
        <w:spacing w:before="1"/>
      </w:pPr>
    </w:p>
    <w:p w14:paraId="510AF7A1" w14:textId="77777777" w:rsidR="00214D95" w:rsidRDefault="007D27A7">
      <w:pPr>
        <w:pStyle w:val="Heading1"/>
        <w:jc w:val="right"/>
      </w:pPr>
      <w:r>
        <w:rPr>
          <w:color w:val="054183"/>
        </w:rPr>
        <w:t>1</w:t>
      </w:r>
    </w:p>
    <w:sectPr w:rsidR="00214D95">
      <w:type w:val="continuous"/>
      <w:pgSz w:w="12240" w:h="15840"/>
      <w:pgMar w:top="280" w:right="320" w:bottom="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27EE"/>
    <w:multiLevelType w:val="hybridMultilevel"/>
    <w:tmpl w:val="39B2AE4C"/>
    <w:lvl w:ilvl="0" w:tplc="2A8CC36C">
      <w:numFmt w:val="bullet"/>
      <w:lvlText w:val=""/>
      <w:lvlJc w:val="left"/>
      <w:pPr>
        <w:ind w:left="495" w:hanging="283"/>
      </w:pPr>
      <w:rPr>
        <w:rFonts w:ascii="Symbol" w:eastAsia="Symbol" w:hAnsi="Symbol" w:cs="Symbol" w:hint="default"/>
        <w:w w:val="101"/>
        <w:sz w:val="18"/>
        <w:szCs w:val="18"/>
        <w:lang w:val="en-US" w:eastAsia="en-US" w:bidi="en-US"/>
      </w:rPr>
    </w:lvl>
    <w:lvl w:ilvl="1" w:tplc="B1BAAB44">
      <w:numFmt w:val="bullet"/>
      <w:lvlText w:val="•"/>
      <w:lvlJc w:val="left"/>
      <w:pPr>
        <w:ind w:left="993" w:hanging="283"/>
      </w:pPr>
      <w:rPr>
        <w:rFonts w:hint="default"/>
        <w:lang w:val="en-US" w:eastAsia="en-US" w:bidi="en-US"/>
      </w:rPr>
    </w:lvl>
    <w:lvl w:ilvl="2" w:tplc="C31C8EB0">
      <w:numFmt w:val="bullet"/>
      <w:lvlText w:val="•"/>
      <w:lvlJc w:val="left"/>
      <w:pPr>
        <w:ind w:left="1487" w:hanging="283"/>
      </w:pPr>
      <w:rPr>
        <w:rFonts w:hint="default"/>
        <w:lang w:val="en-US" w:eastAsia="en-US" w:bidi="en-US"/>
      </w:rPr>
    </w:lvl>
    <w:lvl w:ilvl="3" w:tplc="9100376E">
      <w:numFmt w:val="bullet"/>
      <w:lvlText w:val="•"/>
      <w:lvlJc w:val="left"/>
      <w:pPr>
        <w:ind w:left="1981" w:hanging="283"/>
      </w:pPr>
      <w:rPr>
        <w:rFonts w:hint="default"/>
        <w:lang w:val="en-US" w:eastAsia="en-US" w:bidi="en-US"/>
      </w:rPr>
    </w:lvl>
    <w:lvl w:ilvl="4" w:tplc="EAB0EB20">
      <w:numFmt w:val="bullet"/>
      <w:lvlText w:val="•"/>
      <w:lvlJc w:val="left"/>
      <w:pPr>
        <w:ind w:left="2475" w:hanging="283"/>
      </w:pPr>
      <w:rPr>
        <w:rFonts w:hint="default"/>
        <w:lang w:val="en-US" w:eastAsia="en-US" w:bidi="en-US"/>
      </w:rPr>
    </w:lvl>
    <w:lvl w:ilvl="5" w:tplc="AAF620E0">
      <w:numFmt w:val="bullet"/>
      <w:lvlText w:val="•"/>
      <w:lvlJc w:val="left"/>
      <w:pPr>
        <w:ind w:left="2969" w:hanging="283"/>
      </w:pPr>
      <w:rPr>
        <w:rFonts w:hint="default"/>
        <w:lang w:val="en-US" w:eastAsia="en-US" w:bidi="en-US"/>
      </w:rPr>
    </w:lvl>
    <w:lvl w:ilvl="6" w:tplc="B4E689AA">
      <w:numFmt w:val="bullet"/>
      <w:lvlText w:val="•"/>
      <w:lvlJc w:val="left"/>
      <w:pPr>
        <w:ind w:left="3462" w:hanging="283"/>
      </w:pPr>
      <w:rPr>
        <w:rFonts w:hint="default"/>
        <w:lang w:val="en-US" w:eastAsia="en-US" w:bidi="en-US"/>
      </w:rPr>
    </w:lvl>
    <w:lvl w:ilvl="7" w:tplc="BBCAA442">
      <w:numFmt w:val="bullet"/>
      <w:lvlText w:val="•"/>
      <w:lvlJc w:val="left"/>
      <w:pPr>
        <w:ind w:left="3956" w:hanging="283"/>
      </w:pPr>
      <w:rPr>
        <w:rFonts w:hint="default"/>
        <w:lang w:val="en-US" w:eastAsia="en-US" w:bidi="en-US"/>
      </w:rPr>
    </w:lvl>
    <w:lvl w:ilvl="8" w:tplc="17B03DE2">
      <w:numFmt w:val="bullet"/>
      <w:lvlText w:val="•"/>
      <w:lvlJc w:val="left"/>
      <w:pPr>
        <w:ind w:left="4450" w:hanging="283"/>
      </w:pPr>
      <w:rPr>
        <w:rFonts w:hint="default"/>
        <w:lang w:val="en-US" w:eastAsia="en-US" w:bidi="en-US"/>
      </w:rPr>
    </w:lvl>
  </w:abstractNum>
  <w:abstractNum w:abstractNumId="1" w15:restartNumberingAfterBreak="0">
    <w:nsid w:val="6EFB70A9"/>
    <w:multiLevelType w:val="hybridMultilevel"/>
    <w:tmpl w:val="C71E82AA"/>
    <w:lvl w:ilvl="0" w:tplc="2E0849C8">
      <w:numFmt w:val="bullet"/>
      <w:lvlText w:val=""/>
      <w:lvlJc w:val="left"/>
      <w:pPr>
        <w:ind w:left="495" w:hanging="283"/>
      </w:pPr>
      <w:rPr>
        <w:rFonts w:ascii="Symbol" w:eastAsia="Symbol" w:hAnsi="Symbol" w:cs="Symbol" w:hint="default"/>
        <w:w w:val="101"/>
        <w:sz w:val="18"/>
        <w:szCs w:val="18"/>
        <w:lang w:val="en-US" w:eastAsia="en-US" w:bidi="en-US"/>
      </w:rPr>
    </w:lvl>
    <w:lvl w:ilvl="1" w:tplc="FFBC7E8E">
      <w:numFmt w:val="bullet"/>
      <w:lvlText w:val="•"/>
      <w:lvlJc w:val="left"/>
      <w:pPr>
        <w:ind w:left="993" w:hanging="283"/>
      </w:pPr>
      <w:rPr>
        <w:rFonts w:hint="default"/>
        <w:lang w:val="en-US" w:eastAsia="en-US" w:bidi="en-US"/>
      </w:rPr>
    </w:lvl>
    <w:lvl w:ilvl="2" w:tplc="79FE80E2">
      <w:numFmt w:val="bullet"/>
      <w:lvlText w:val="•"/>
      <w:lvlJc w:val="left"/>
      <w:pPr>
        <w:ind w:left="1487" w:hanging="283"/>
      </w:pPr>
      <w:rPr>
        <w:rFonts w:hint="default"/>
        <w:lang w:val="en-US" w:eastAsia="en-US" w:bidi="en-US"/>
      </w:rPr>
    </w:lvl>
    <w:lvl w:ilvl="3" w:tplc="000C1FBA">
      <w:numFmt w:val="bullet"/>
      <w:lvlText w:val="•"/>
      <w:lvlJc w:val="left"/>
      <w:pPr>
        <w:ind w:left="1981" w:hanging="283"/>
      </w:pPr>
      <w:rPr>
        <w:rFonts w:hint="default"/>
        <w:lang w:val="en-US" w:eastAsia="en-US" w:bidi="en-US"/>
      </w:rPr>
    </w:lvl>
    <w:lvl w:ilvl="4" w:tplc="973415BC">
      <w:numFmt w:val="bullet"/>
      <w:lvlText w:val="•"/>
      <w:lvlJc w:val="left"/>
      <w:pPr>
        <w:ind w:left="2475" w:hanging="283"/>
      </w:pPr>
      <w:rPr>
        <w:rFonts w:hint="default"/>
        <w:lang w:val="en-US" w:eastAsia="en-US" w:bidi="en-US"/>
      </w:rPr>
    </w:lvl>
    <w:lvl w:ilvl="5" w:tplc="3CFE2BA8">
      <w:numFmt w:val="bullet"/>
      <w:lvlText w:val="•"/>
      <w:lvlJc w:val="left"/>
      <w:pPr>
        <w:ind w:left="2969" w:hanging="283"/>
      </w:pPr>
      <w:rPr>
        <w:rFonts w:hint="default"/>
        <w:lang w:val="en-US" w:eastAsia="en-US" w:bidi="en-US"/>
      </w:rPr>
    </w:lvl>
    <w:lvl w:ilvl="6" w:tplc="1F6A65D6">
      <w:numFmt w:val="bullet"/>
      <w:lvlText w:val="•"/>
      <w:lvlJc w:val="left"/>
      <w:pPr>
        <w:ind w:left="3462" w:hanging="283"/>
      </w:pPr>
      <w:rPr>
        <w:rFonts w:hint="default"/>
        <w:lang w:val="en-US" w:eastAsia="en-US" w:bidi="en-US"/>
      </w:rPr>
    </w:lvl>
    <w:lvl w:ilvl="7" w:tplc="1D76A486">
      <w:numFmt w:val="bullet"/>
      <w:lvlText w:val="•"/>
      <w:lvlJc w:val="left"/>
      <w:pPr>
        <w:ind w:left="3956" w:hanging="283"/>
      </w:pPr>
      <w:rPr>
        <w:rFonts w:hint="default"/>
        <w:lang w:val="en-US" w:eastAsia="en-US" w:bidi="en-US"/>
      </w:rPr>
    </w:lvl>
    <w:lvl w:ilvl="8" w:tplc="536EF4F0">
      <w:numFmt w:val="bullet"/>
      <w:lvlText w:val="•"/>
      <w:lvlJc w:val="left"/>
      <w:pPr>
        <w:ind w:left="4450" w:hanging="28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14D95"/>
    <w:rsid w:val="00214D95"/>
    <w:rsid w:val="004A4B9C"/>
    <w:rsid w:val="007D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829E1B"/>
  <w15:docId w15:val="{EA9F7A2E-2035-C04B-8029-ABF7ABD6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right="1800"/>
      <w:jc w:val="center"/>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2019-10-17T12:31:00Z</dcterms:created>
  <dcterms:modified xsi:type="dcterms:W3CDTF">2019-10-17T12:32:00Z</dcterms:modified>
</cp:coreProperties>
</file>